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0D54" w:rsidRDefault="00870D54" w:rsidP="00870D54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025B2C">
        <w:rPr>
          <w:rFonts w:ascii="Times New Roman" w:hAnsi="Times New Roman" w:cs="Times New Roman"/>
        </w:rPr>
        <w:t>S</w:t>
      </w:r>
      <w:bookmarkStart w:id="0" w:name="_GoBack"/>
      <w:bookmarkEnd w:id="0"/>
      <w:r>
        <w:rPr>
          <w:rFonts w:ascii="Times New Roman" w:hAnsi="Times New Roman" w:cs="Times New Roman"/>
        </w:rPr>
        <w:t xml:space="preserve">2: </w:t>
      </w:r>
      <w:r w:rsidRPr="004D4D25">
        <w:rPr>
          <w:rFonts w:ascii="Times New Roman" w:hAnsi="Times New Roman" w:cs="Times New Roman"/>
        </w:rPr>
        <w:t>Baseline patient characteristics</w:t>
      </w:r>
      <w:r>
        <w:rPr>
          <w:rFonts w:ascii="Times New Roman" w:hAnsi="Times New Roman" w:cs="Times New Roman"/>
        </w:rPr>
        <w:t xml:space="preserve"> for different glucose-lowering agent groups before the matching algorithm</w:t>
      </w:r>
      <w:r w:rsidRPr="003C452F">
        <w:rPr>
          <w:rFonts w:ascii="Times New Roman" w:hAnsi="Times New Roman" w:cs="Times New Roman"/>
          <w:vertAlign w:val="superscript"/>
        </w:rPr>
        <w:t>a</w:t>
      </w:r>
    </w:p>
    <w:tbl>
      <w:tblPr>
        <w:tblStyle w:val="a3"/>
        <w:tblW w:w="1346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8"/>
        <w:gridCol w:w="1772"/>
        <w:gridCol w:w="1772"/>
        <w:gridCol w:w="1772"/>
        <w:gridCol w:w="1772"/>
      </w:tblGrid>
      <w:tr w:rsidR="00870D54" w:rsidRPr="004D4D25" w:rsidTr="008A6246">
        <w:trPr>
          <w:jc w:val="center"/>
        </w:trPr>
        <w:tc>
          <w:tcPr>
            <w:tcW w:w="6378" w:type="dxa"/>
            <w:tcBorders>
              <w:top w:val="single" w:sz="4" w:space="0" w:color="000000"/>
            </w:tcBorders>
          </w:tcPr>
          <w:p w:rsidR="00870D54" w:rsidRPr="004D4D25" w:rsidRDefault="00870D54" w:rsidP="008A62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 w:rsidRPr="004D4D25">
              <w:rPr>
                <w:rFonts w:ascii="Times New Roman" w:hAnsi="Times New Roman" w:cs="Times New Roman"/>
                <w:b/>
              </w:rPr>
              <w:t>haracteristics</w:t>
            </w:r>
          </w:p>
        </w:tc>
        <w:tc>
          <w:tcPr>
            <w:tcW w:w="1772" w:type="dxa"/>
            <w:tcBorders>
              <w:top w:val="single" w:sz="4" w:space="0" w:color="000000"/>
            </w:tcBorders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D4D25">
              <w:rPr>
                <w:rFonts w:ascii="Times New Roman" w:hAnsi="Times New Roman" w:cs="Times New Roman"/>
                <w:b/>
              </w:rPr>
              <w:t>GLP-1</w:t>
            </w:r>
            <w:r>
              <w:rPr>
                <w:rFonts w:ascii="Times New Roman" w:hAnsi="Times New Roman" w:cs="Times New Roman"/>
                <w:b/>
              </w:rPr>
              <w:t>ra</w:t>
            </w:r>
          </w:p>
        </w:tc>
        <w:tc>
          <w:tcPr>
            <w:tcW w:w="1772" w:type="dxa"/>
            <w:tcBorders>
              <w:top w:val="single" w:sz="4" w:space="0" w:color="000000"/>
            </w:tcBorders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D4D25">
              <w:rPr>
                <w:rFonts w:ascii="Times New Roman" w:hAnsi="Times New Roman" w:cs="Times New Roman"/>
                <w:b/>
              </w:rPr>
              <w:t>DPP</w:t>
            </w:r>
            <w:r>
              <w:rPr>
                <w:rFonts w:ascii="Times New Roman" w:hAnsi="Times New Roman" w:cs="Times New Roman"/>
                <w:b/>
              </w:rPr>
              <w:t>-4</w:t>
            </w:r>
            <w:r w:rsidRPr="004D4D25"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1772" w:type="dxa"/>
            <w:tcBorders>
              <w:top w:val="single" w:sz="4" w:space="0" w:color="000000"/>
            </w:tcBorders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D4D25">
              <w:rPr>
                <w:rFonts w:ascii="Times New Roman" w:hAnsi="Times New Roman" w:cs="Times New Roman"/>
                <w:b/>
              </w:rPr>
              <w:t>SU</w:t>
            </w:r>
          </w:p>
        </w:tc>
        <w:tc>
          <w:tcPr>
            <w:tcW w:w="1772" w:type="dxa"/>
            <w:tcBorders>
              <w:top w:val="single" w:sz="4" w:space="0" w:color="000000"/>
            </w:tcBorders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Insulin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  <w:tcBorders>
              <w:top w:val="single" w:sz="4" w:space="0" w:color="000000"/>
            </w:tcBorders>
          </w:tcPr>
          <w:p w:rsidR="00870D54" w:rsidRPr="004D4D25" w:rsidRDefault="00870D54" w:rsidP="008A6246">
            <w:pPr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Number of </w:t>
            </w:r>
            <w:r>
              <w:rPr>
                <w:rFonts w:ascii="Times New Roman" w:hAnsi="Times New Roman" w:cs="Times New Roman"/>
              </w:rPr>
              <w:t>subjects</w:t>
            </w:r>
          </w:p>
        </w:tc>
        <w:tc>
          <w:tcPr>
            <w:tcW w:w="1772" w:type="dxa"/>
            <w:tcBorders>
              <w:top w:val="single" w:sz="4" w:space="0" w:color="000000"/>
            </w:tcBorders>
            <w:vAlign w:val="bottom"/>
          </w:tcPr>
          <w:p w:rsidR="00870D54" w:rsidRDefault="00870D54" w:rsidP="008A624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3,195 </w:t>
            </w:r>
          </w:p>
        </w:tc>
        <w:tc>
          <w:tcPr>
            <w:tcW w:w="1772" w:type="dxa"/>
            <w:tcBorders>
              <w:top w:val="single" w:sz="4" w:space="0" w:color="000000"/>
            </w:tcBorders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7,665,432 </w:t>
            </w:r>
          </w:p>
        </w:tc>
        <w:tc>
          <w:tcPr>
            <w:tcW w:w="1772" w:type="dxa"/>
            <w:tcBorders>
              <w:top w:val="single" w:sz="4" w:space="0" w:color="000000"/>
            </w:tcBorders>
            <w:vAlign w:val="bottom"/>
          </w:tcPr>
          <w:p w:rsidR="00870D54" w:rsidRDefault="00870D54" w:rsidP="008A624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6,340,894</w:t>
            </w:r>
          </w:p>
        </w:tc>
        <w:tc>
          <w:tcPr>
            <w:tcW w:w="1772" w:type="dxa"/>
            <w:tcBorders>
              <w:top w:val="single" w:sz="4" w:space="0" w:color="000000"/>
            </w:tcBorders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3,799,662 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Age at index date (year</w:t>
            </w:r>
            <w:r>
              <w:rPr>
                <w:rFonts w:ascii="Times New Roman" w:hAnsi="Times New Roman" w:cs="Times New Roman"/>
              </w:rPr>
              <w:t>s</w:t>
            </w:r>
            <w:r w:rsidRPr="004D4D25">
              <w:rPr>
                <w:rFonts w:ascii="Times New Roman" w:hAnsi="Times New Roman" w:cs="Times New Roman"/>
              </w:rPr>
              <w:t>, mean ± SD)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48.61 ± 11.92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62.44 ± 12.35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62.39 ± 11.96</w:t>
            </w:r>
            <w:r w:rsidRPr="003C452F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58.15 ± 15.87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Male at index date (%)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45.57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53.76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53.19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53.04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Diabetes duration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c</w:t>
            </w:r>
            <w:r w:rsidRPr="004D4D25">
              <w:rPr>
                <w:rFonts w:ascii="Times New Roman" w:hAnsi="Times New Roman" w:cs="Times New Roman"/>
              </w:rPr>
              <w:t xml:space="preserve"> (year</w:t>
            </w:r>
            <w:r>
              <w:rPr>
                <w:rFonts w:ascii="Times New Roman" w:hAnsi="Times New Roman" w:cs="Times New Roman"/>
              </w:rPr>
              <w:t>s</w:t>
            </w:r>
            <w:r w:rsidRPr="004D4D25">
              <w:rPr>
                <w:rFonts w:ascii="Times New Roman" w:hAnsi="Times New Roman" w:cs="Times New Roman"/>
              </w:rPr>
              <w:t>, mean ± SD)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5.99 ± 2.81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6.07 ± 2.81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5.47 ± 2.77</w:t>
            </w:r>
          </w:p>
        </w:tc>
        <w:tc>
          <w:tcPr>
            <w:tcW w:w="1772" w:type="dxa"/>
            <w:vAlign w:val="bottom"/>
          </w:tcPr>
          <w:p w:rsidR="00870D54" w:rsidRPr="004D4D25" w:rsidRDefault="00870D54" w:rsidP="008A624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6.41 ± 2.77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Comorbidity history (%)</w:t>
            </w:r>
          </w:p>
        </w:tc>
        <w:tc>
          <w:tcPr>
            <w:tcW w:w="1772" w:type="dxa"/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2" w:type="dxa"/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772" w:type="dxa"/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Hypertension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61.16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67.37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66.98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61.37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Hyperlipidemia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70.14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58.37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57.10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53.49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Stroke or </w:t>
            </w:r>
            <w:r w:rsidRPr="004D4D25">
              <w:rPr>
                <w:rFonts w:ascii="Times New Roman" w:eastAsia="標楷體" w:hAnsi="Times New Roman" w:cs="Times New Roman"/>
              </w:rPr>
              <w:t>transient ischemic attack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4.48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11.68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9.39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12.51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Heart failure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2.69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5.39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3.28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6.85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yocardial infarction</w:t>
            </w:r>
            <w:r w:rsidRPr="004D4D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2.38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1.34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2.25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>schemic heart diseases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11.99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19.71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15.33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17.76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CIC category (%)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Cancer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4.41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7.74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6.88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8.21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Gastrointestinal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26.23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26.60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27.08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28.37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Musculoskeletal 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33.83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38.69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40.53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34.50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Pulmonary 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7.86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9.46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9.31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10.87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Substance abuse complexity 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2.47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1.66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3.36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Mental illness 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9.45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9.97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10.25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11.13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Diabetes-related diseases (%)</w:t>
            </w:r>
          </w:p>
        </w:tc>
        <w:tc>
          <w:tcPr>
            <w:tcW w:w="1772" w:type="dxa"/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2" w:type="dxa"/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772" w:type="dxa"/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Retinopathy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17.15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11.26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24.15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Nephropathy 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26.04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26.11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17.57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37.82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lastRenderedPageBreak/>
              <w:t xml:space="preserve">Neuropathy 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13.83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13.75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11.61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19.95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Peripheral vascular diseases</w:t>
            </w:r>
            <w:r w:rsidRPr="004D4D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4.54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5.22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4.77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8.06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Cerebrovascular diseases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3.60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9.85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7.82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10.62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Cardiovascular diseases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14.55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24.44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18.86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22.86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Metabolic complications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1.44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6.65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Number of glucose-lowering agents prescribes one year before index date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2.94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2.78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2.34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2.50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Glucose-lowering agents one year before index date (MPR, mean ± </w:t>
            </w:r>
            <w:proofErr w:type="gramStart"/>
            <w:r w:rsidRPr="004D4D25">
              <w:rPr>
                <w:rFonts w:ascii="Times New Roman" w:hAnsi="Times New Roman" w:cs="Times New Roman"/>
              </w:rPr>
              <w:t>SD)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d</w:t>
            </w:r>
            <w:proofErr w:type="gramEnd"/>
          </w:p>
        </w:tc>
        <w:tc>
          <w:tcPr>
            <w:tcW w:w="1772" w:type="dxa"/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2" w:type="dxa"/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772" w:type="dxa"/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Metformin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0.48 ± 0.43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0.47 ± 0.45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0.60 ± 0.43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 ± 0.42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Sulfonylurea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0.40 ± 0.43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 ± 0.44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 ± 0.27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 ± 0.37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Meglitinide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 ± 0.19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 ± 0.23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 ± 0.08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 ± 0.22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>hizaolidinedione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 ± 0.30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 ± 0.25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 ± 0.26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 ± 0.20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Acarbose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 ± 0.30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 ± 0.32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 ± 0.27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 ± 0.27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</w:t>
            </w:r>
            <w:r w:rsidRPr="004C7CE9">
              <w:rPr>
                <w:rFonts w:ascii="Times New Roman" w:eastAsia="標楷體" w:hAnsi="Times New Roman" w:cs="Times New Roman"/>
              </w:rPr>
              <w:t>ipeptidyl peptidase-4 inhibitor</w:t>
            </w:r>
            <w:r w:rsidRPr="004D4D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 ± 0.42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0.71 ± 0.33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 ± 0.30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 ± 0.33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Insulin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0.30 ± 0.41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 ± 0.23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 ± 0.15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 ± 0.31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CVD-related medication history (%)</w:t>
            </w:r>
          </w:p>
        </w:tc>
        <w:tc>
          <w:tcPr>
            <w:tcW w:w="1772" w:type="dxa"/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2" w:type="dxa"/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772" w:type="dxa"/>
          </w:tcPr>
          <w:p w:rsidR="00870D54" w:rsidRPr="004D4D25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Lipid modifying agents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67.01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61.57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54.36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55.11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α-blocker</w:t>
            </w:r>
            <w:r>
              <w:rPr>
                <w:rFonts w:ascii="Times New Roman" w:hAnsi="Times New Roman" w:cs="Times New Roman"/>
              </w:rPr>
              <w:t>s</w:t>
            </w:r>
            <w:r w:rsidRPr="004D4D25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3.57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6.30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5.20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6.81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β-blocker</w:t>
            </w:r>
            <w:r>
              <w:rPr>
                <w:rFonts w:ascii="Times New Roman" w:hAnsi="Times New Roman" w:cs="Times New Roman"/>
              </w:rPr>
              <w:t>s</w:t>
            </w:r>
            <w:r w:rsidRPr="004D4D25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31.92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35.73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30.38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33.01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Agents acting on </w:t>
            </w:r>
            <w:r>
              <w:rPr>
                <w:rFonts w:ascii="Times New Roman" w:hAnsi="Times New Roman" w:cs="Times New Roman"/>
              </w:rPr>
              <w:t>RAAS</w:t>
            </w:r>
            <w:r w:rsidRPr="004D4D2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eastAsia="標楷體" w:hAnsi="Times New Roman" w:cs="Times New Roman"/>
              </w:rPr>
              <w:t>renin-angiotensin-aldosterone system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42.25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45.14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41.66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41.35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Diuretics 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18.65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20.19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17.13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25.76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Calcium channel blockers</w:t>
            </w:r>
            <w:r w:rsidRPr="004D4D25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31.36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40.86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43.4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39.21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Antiarrhythmics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2.59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1.86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2.63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 xml:space="preserve">Cardiac glycosides 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2.53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Vasodilators used in cardiac disease</w:t>
            </w:r>
            <w:r>
              <w:rPr>
                <w:rFonts w:ascii="Times New Roman" w:hAnsi="Times New Roman" w:cs="Times New Roman"/>
              </w:rPr>
              <w:t>s</w:t>
            </w:r>
            <w:r w:rsidRPr="004D4D25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8.26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14.44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15.17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Anti-platelet</w:t>
            </w:r>
            <w:r>
              <w:rPr>
                <w:rFonts w:ascii="Times New Roman" w:hAnsi="Times New Roman" w:cs="Times New Roman"/>
              </w:rPr>
              <w:t>s</w:t>
            </w:r>
            <w:r w:rsidRPr="004D4D25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28.17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41.50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34.67</w:t>
            </w:r>
          </w:p>
        </w:tc>
        <w:tc>
          <w:tcPr>
            <w:tcW w:w="1772" w:type="dxa"/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39.52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b</w:t>
            </w:r>
          </w:p>
        </w:tc>
      </w:tr>
      <w:tr w:rsidR="00870D54" w:rsidRPr="004D4D25" w:rsidTr="008A6246">
        <w:trPr>
          <w:jc w:val="center"/>
        </w:trPr>
        <w:tc>
          <w:tcPr>
            <w:tcW w:w="6378" w:type="dxa"/>
            <w:tcBorders>
              <w:bottom w:val="single" w:sz="4" w:space="0" w:color="000000"/>
            </w:tcBorders>
          </w:tcPr>
          <w:p w:rsidR="00870D54" w:rsidRPr="004D4D25" w:rsidRDefault="00870D54" w:rsidP="008A6246">
            <w:pPr>
              <w:ind w:leftChars="100" w:left="240"/>
              <w:rPr>
                <w:rFonts w:ascii="Times New Roman" w:hAnsi="Times New Roman" w:cs="Times New Roman"/>
              </w:rPr>
            </w:pPr>
            <w:r w:rsidRPr="004D4D25">
              <w:rPr>
                <w:rFonts w:ascii="Times New Roman" w:hAnsi="Times New Roman" w:cs="Times New Roman"/>
              </w:rPr>
              <w:t>Anti-coagulant</w:t>
            </w:r>
            <w:r>
              <w:rPr>
                <w:rFonts w:ascii="Times New Roman" w:hAnsi="Times New Roman" w:cs="Times New Roman"/>
              </w:rPr>
              <w:t>s</w:t>
            </w:r>
            <w:r w:rsidRPr="004D4D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72" w:type="dxa"/>
            <w:tcBorders>
              <w:bottom w:val="single" w:sz="4" w:space="0" w:color="000000"/>
            </w:tcBorders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1772" w:type="dxa"/>
            <w:tcBorders>
              <w:bottom w:val="single" w:sz="4" w:space="0" w:color="000000"/>
            </w:tcBorders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1.93</w:t>
            </w:r>
          </w:p>
        </w:tc>
        <w:tc>
          <w:tcPr>
            <w:tcW w:w="1772" w:type="dxa"/>
            <w:tcBorders>
              <w:bottom w:val="single" w:sz="4" w:space="0" w:color="000000"/>
            </w:tcBorders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772" w:type="dxa"/>
            <w:tcBorders>
              <w:bottom w:val="single" w:sz="4" w:space="0" w:color="000000"/>
            </w:tcBorders>
            <w:vAlign w:val="bottom"/>
          </w:tcPr>
          <w:p w:rsidR="00870D54" w:rsidRDefault="00870D54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1.87</w:t>
            </w:r>
          </w:p>
        </w:tc>
      </w:tr>
    </w:tbl>
    <w:p w:rsidR="00870D54" w:rsidRDefault="00870D54" w:rsidP="00870D54">
      <w:pPr>
        <w:widowControl/>
        <w:rPr>
          <w:rFonts w:ascii="Times New Roman" w:eastAsia="標楷體" w:hAnsi="Times New Roman" w:cs="Times New Roman"/>
        </w:rPr>
      </w:pPr>
      <w:r w:rsidRPr="000D42E7">
        <w:rPr>
          <w:rFonts w:ascii="Times New Roman" w:eastAsia="標楷體" w:hAnsi="Times New Roman" w:cs="Times New Roman"/>
        </w:rPr>
        <w:t>Abbreviations: GLP-1ra, glucagon-like peptide-1 receptor agonist; DPP-4i, dipeptidyl peptidase-4 inhibitor; SU, sulfonylurea; SD, standard deviation; CIC, chronic illness with complexity; MPR, medication possession ratio; CVD, cardiovascular disease; RAAS, renin-angiotensin-aldosterone system.</w:t>
      </w:r>
    </w:p>
    <w:p w:rsidR="00870D54" w:rsidRPr="000D42E7" w:rsidRDefault="00870D54" w:rsidP="00870D54">
      <w:pPr>
        <w:widowControl/>
        <w:rPr>
          <w:rFonts w:ascii="Times New Roman" w:eastAsia="標楷體" w:hAnsi="Times New Roman" w:cs="Times New Roman"/>
        </w:rPr>
      </w:pPr>
    </w:p>
    <w:p w:rsidR="00870D54" w:rsidRPr="000D42E7" w:rsidRDefault="00870D54" w:rsidP="00870D54">
      <w:pPr>
        <w:widowControl/>
        <w:rPr>
          <w:rFonts w:ascii="Times New Roman" w:eastAsia="標楷體" w:hAnsi="Times New Roman" w:cs="Times New Roman"/>
        </w:rPr>
      </w:pPr>
      <w:r w:rsidRPr="003C452F">
        <w:rPr>
          <w:rFonts w:ascii="Times New Roman" w:eastAsia="標楷體" w:hAnsi="Times New Roman" w:cs="Times New Roman"/>
          <w:vertAlign w:val="superscript"/>
        </w:rPr>
        <w:t>a</w:t>
      </w:r>
      <w:r w:rsidRPr="000D42E7">
        <w:rPr>
          <w:rFonts w:ascii="Times New Roman" w:eastAsia="標楷體" w:hAnsi="Times New Roman" w:cs="Times New Roman"/>
        </w:rPr>
        <w:t xml:space="preserve">All confounders listed above were measured in the year prior to index date, except age, gender, and diabetes duration, which were </w:t>
      </w:r>
      <w:r>
        <w:rPr>
          <w:rFonts w:ascii="Times New Roman" w:eastAsia="標楷體" w:hAnsi="Times New Roman" w:cs="Times New Roman"/>
        </w:rPr>
        <w:t>determined</w:t>
      </w:r>
      <w:r w:rsidRPr="000D42E7">
        <w:rPr>
          <w:rFonts w:ascii="Times New Roman" w:eastAsia="標楷體" w:hAnsi="Times New Roman" w:cs="Times New Roman"/>
        </w:rPr>
        <w:t xml:space="preserve"> at index date.</w:t>
      </w:r>
    </w:p>
    <w:p w:rsidR="00870D54" w:rsidRPr="000D42E7" w:rsidRDefault="00870D54" w:rsidP="00870D54">
      <w:pPr>
        <w:widowControl/>
        <w:rPr>
          <w:rFonts w:ascii="Times New Roman" w:eastAsia="標楷體" w:hAnsi="Times New Roman" w:cs="Times New Roman"/>
        </w:rPr>
      </w:pPr>
      <w:r w:rsidRPr="003C452F">
        <w:rPr>
          <w:rFonts w:ascii="Times New Roman" w:eastAsia="標楷體" w:hAnsi="Times New Roman" w:cs="Times New Roman"/>
          <w:vertAlign w:val="superscript"/>
        </w:rPr>
        <w:t>b</w:t>
      </w:r>
      <w:r w:rsidRPr="000D42E7">
        <w:rPr>
          <w:rFonts w:ascii="Times New Roman" w:eastAsia="標楷體" w:hAnsi="Times New Roman" w:cs="Times New Roman"/>
        </w:rPr>
        <w:t>A significant difference between GLP-1ra and insulin users, as indicated by absolute standardized mean difference &gt;</w:t>
      </w:r>
      <w:r>
        <w:rPr>
          <w:rFonts w:ascii="Times New Roman" w:eastAsia="標楷體" w:hAnsi="Times New Roman" w:cs="Times New Roman"/>
        </w:rPr>
        <w:t xml:space="preserve"> </w:t>
      </w:r>
      <w:r w:rsidRPr="000D42E7">
        <w:rPr>
          <w:rFonts w:ascii="Times New Roman" w:eastAsia="標楷體" w:hAnsi="Times New Roman" w:cs="Times New Roman"/>
        </w:rPr>
        <w:t>0.2.</w:t>
      </w:r>
    </w:p>
    <w:p w:rsidR="00870D54" w:rsidRPr="000D42E7" w:rsidRDefault="00870D54" w:rsidP="00870D54">
      <w:pPr>
        <w:widowControl/>
        <w:rPr>
          <w:rFonts w:ascii="Times New Roman" w:eastAsia="標楷體" w:hAnsi="Times New Roman" w:cs="Times New Roman"/>
        </w:rPr>
      </w:pPr>
      <w:r w:rsidRPr="003C452F">
        <w:rPr>
          <w:rFonts w:ascii="Times New Roman" w:eastAsia="標楷體" w:hAnsi="Times New Roman" w:cs="Times New Roman"/>
          <w:vertAlign w:val="superscript"/>
        </w:rPr>
        <w:t>c</w:t>
      </w:r>
      <w:r w:rsidRPr="000D42E7">
        <w:rPr>
          <w:rFonts w:ascii="Times New Roman" w:eastAsia="標楷體" w:hAnsi="Times New Roman" w:cs="Times New Roman"/>
        </w:rPr>
        <w:t>Diabetes duration was measured as the time from the first date of type 2 diabetes diagnosis to index date.</w:t>
      </w:r>
    </w:p>
    <w:p w:rsidR="00870D54" w:rsidRDefault="00870D54" w:rsidP="00870D54">
      <w:r w:rsidRPr="003C452F">
        <w:rPr>
          <w:rFonts w:ascii="Times New Roman" w:eastAsia="標楷體" w:hAnsi="Times New Roman" w:cs="Times New Roman"/>
          <w:vertAlign w:val="superscript"/>
        </w:rPr>
        <w:t>d</w:t>
      </w:r>
      <w:r w:rsidRPr="000D42E7">
        <w:rPr>
          <w:rFonts w:ascii="Times New Roman" w:eastAsia="標楷體" w:hAnsi="Times New Roman" w:cs="Times New Roman"/>
        </w:rPr>
        <w:t>MPR was measured as the sum of prescription refill days in the year prior to index date divided by 365.</w:t>
      </w:r>
    </w:p>
    <w:p w:rsidR="00C16BF6" w:rsidRPr="00870D54" w:rsidRDefault="00C16BF6"/>
    <w:sectPr w:rsidR="00C16BF6" w:rsidRPr="00870D54" w:rsidSect="00302545">
      <w:pgSz w:w="16840" w:h="11900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D54"/>
    <w:rsid w:val="00025B2C"/>
    <w:rsid w:val="00064B7F"/>
    <w:rsid w:val="00870D54"/>
    <w:rsid w:val="00C1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177528"/>
  <w15:chartTrackingRefBased/>
  <w15:docId w15:val="{33803AD1-E107-3F47-AFCF-FCCC968D0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0D54"/>
    <w:pPr>
      <w:widowControl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0D54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498</Words>
  <Characters>2841</Characters>
  <Application>Microsoft Office Word</Application>
  <DocSecurity>0</DocSecurity>
  <Lines>23</Lines>
  <Paragraphs>6</Paragraphs>
  <ScaleCrop>false</ScaleCrop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楊珺婷</dc:creator>
  <cp:keywords/>
  <dc:description/>
  <cp:lastModifiedBy>楊珺婷</cp:lastModifiedBy>
  <cp:revision>2</cp:revision>
  <dcterms:created xsi:type="dcterms:W3CDTF">2020-02-22T14:53:00Z</dcterms:created>
  <dcterms:modified xsi:type="dcterms:W3CDTF">2020-02-22T14:53:00Z</dcterms:modified>
</cp:coreProperties>
</file>